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2414" w14:textId="629A9C11" w:rsidR="003C3F1A" w:rsidRPr="00276EED" w:rsidRDefault="00BF65C8" w:rsidP="003C3F1A">
      <w:pPr>
        <w:pStyle w:val="Tytu"/>
      </w:pPr>
      <w:r>
        <w:t>Nanostructured polymer capsules As dispersible reactors</w:t>
      </w:r>
    </w:p>
    <w:p w14:paraId="2535A1C6" w14:textId="64F0DC1D" w:rsidR="003C3F1A" w:rsidRPr="00276EED" w:rsidRDefault="00611F0F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Szczepan Zapotoczny</w:t>
      </w:r>
      <w:r>
        <w:rPr>
          <w:caps w:val="0"/>
          <w:vertAlign w:val="superscript"/>
        </w:rPr>
        <w:t>1,2</w:t>
      </w:r>
      <w:r w:rsidR="003C3F1A" w:rsidRPr="00EF7B9D">
        <w:rPr>
          <w:caps w:val="0"/>
          <w:vertAlign w:val="superscript"/>
        </w:rPr>
        <w:t>*</w:t>
      </w:r>
    </w:p>
    <w:p w14:paraId="158BED7E" w14:textId="1415D629" w:rsidR="003C3F1A" w:rsidRPr="00276EED" w:rsidRDefault="003C3F1A" w:rsidP="005916C9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611F0F">
        <w:rPr>
          <w:b w:val="0"/>
        </w:rPr>
        <w:t xml:space="preserve"> </w:t>
      </w:r>
      <w:proofErr w:type="spellStart"/>
      <w:r w:rsidR="00611F0F">
        <w:rPr>
          <w:b w:val="0"/>
        </w:rPr>
        <w:t>Faculty</w:t>
      </w:r>
      <w:proofErr w:type="spellEnd"/>
      <w:r w:rsidR="00611F0F">
        <w:rPr>
          <w:b w:val="0"/>
        </w:rPr>
        <w:t xml:space="preserve"> of </w:t>
      </w:r>
      <w:proofErr w:type="spellStart"/>
      <w:r w:rsidR="00611F0F">
        <w:rPr>
          <w:b w:val="0"/>
        </w:rPr>
        <w:t>Chemistry</w:t>
      </w:r>
      <w:proofErr w:type="spellEnd"/>
      <w:r>
        <w:rPr>
          <w:b w:val="0"/>
        </w:rPr>
        <w:t xml:space="preserve">, </w:t>
      </w:r>
      <w:proofErr w:type="spellStart"/>
      <w:r w:rsidR="00611F0F">
        <w:rPr>
          <w:b w:val="0"/>
        </w:rPr>
        <w:t>Jagiellonian</w:t>
      </w:r>
      <w:proofErr w:type="spellEnd"/>
      <w:r w:rsidR="00611F0F">
        <w:rPr>
          <w:b w:val="0"/>
        </w:rPr>
        <w:t xml:space="preserve"> Univers</w:t>
      </w:r>
      <w:r w:rsidR="004D6D1C">
        <w:rPr>
          <w:b w:val="0"/>
        </w:rPr>
        <w:t>i</w:t>
      </w:r>
      <w:r w:rsidR="00611F0F">
        <w:rPr>
          <w:b w:val="0"/>
        </w:rPr>
        <w:t>ty</w:t>
      </w:r>
      <w:r w:rsidRPr="00276EED">
        <w:rPr>
          <w:b w:val="0"/>
        </w:rPr>
        <w:t xml:space="preserve">, </w:t>
      </w:r>
      <w:r w:rsidR="00611F0F">
        <w:rPr>
          <w:b w:val="0"/>
        </w:rPr>
        <w:t>Gronostajowa 2</w:t>
      </w:r>
      <w:r w:rsidRPr="00276EED">
        <w:rPr>
          <w:b w:val="0"/>
        </w:rPr>
        <w:t xml:space="preserve">, </w:t>
      </w:r>
      <w:r w:rsidRPr="004C736B">
        <w:rPr>
          <w:b w:val="0"/>
        </w:rPr>
        <w:t>30</w:t>
      </w:r>
      <w:r>
        <w:rPr>
          <w:b w:val="0"/>
        </w:rPr>
        <w:noBreakHyphen/>
      </w:r>
      <w:r w:rsidR="00611F0F">
        <w:rPr>
          <w:b w:val="0"/>
        </w:rPr>
        <w:t>387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>
        <w:rPr>
          <w:b w:val="0"/>
        </w:rPr>
        <w:t>Kraków</w:t>
      </w:r>
      <w:r w:rsidR="00611F0F">
        <w:rPr>
          <w:b w:val="0"/>
        </w:rPr>
        <w:t>, Poland</w:t>
      </w:r>
    </w:p>
    <w:p w14:paraId="3422B5F8" w14:textId="5CE3FE7C" w:rsidR="003C3F1A" w:rsidRPr="00276EED" w:rsidRDefault="003C3F1A" w:rsidP="005916C9">
      <w:pPr>
        <w:spacing w:line="240" w:lineRule="auto"/>
        <w:jc w:val="center"/>
      </w:pPr>
      <w:r w:rsidRPr="00276EED">
        <w:rPr>
          <w:vertAlign w:val="superscript"/>
        </w:rPr>
        <w:t>2</w:t>
      </w:r>
      <w:r w:rsidR="00611F0F">
        <w:t xml:space="preserve"> </w:t>
      </w:r>
      <w:proofErr w:type="spellStart"/>
      <w:r w:rsidR="00611F0F">
        <w:t>Academic</w:t>
      </w:r>
      <w:proofErr w:type="spellEnd"/>
      <w:r w:rsidR="00611F0F">
        <w:t xml:space="preserve"> Centre </w:t>
      </w:r>
      <w:r w:rsidR="004D6D1C">
        <w:t>for</w:t>
      </w:r>
      <w:r w:rsidR="00611F0F">
        <w:t xml:space="preserve"> Materials and </w:t>
      </w:r>
      <w:proofErr w:type="spellStart"/>
      <w:r w:rsidR="00611F0F">
        <w:t>Nanotechnology</w:t>
      </w:r>
      <w:proofErr w:type="spellEnd"/>
      <w:r w:rsidR="00611F0F">
        <w:t xml:space="preserve"> AGH, AGH University of Science and Technology, </w:t>
      </w:r>
      <w:r w:rsidR="004D6D1C" w:rsidRPr="004D6D1C">
        <w:t>A. Mickiewicza Av. 30, 30-059 Krak</w:t>
      </w:r>
      <w:r w:rsidR="004D6D1C">
        <w:t>ó</w:t>
      </w:r>
      <w:r w:rsidR="004D6D1C" w:rsidRPr="004D6D1C">
        <w:t>w, Poland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1E2F926C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="00611F0F">
        <w:t>autor korespondencyjny: zapotocz</w:t>
      </w:r>
      <w:r w:rsidRPr="003C3F1A">
        <w:t>@</w:t>
      </w:r>
      <w:r w:rsidR="00611F0F">
        <w:t>chemia.uj.edu.pl</w:t>
      </w:r>
    </w:p>
    <w:p w14:paraId="59CE4CF1" w14:textId="77777777" w:rsidR="005916C9" w:rsidRDefault="005916C9" w:rsidP="00EE536A">
      <w:pPr>
        <w:tabs>
          <w:tab w:val="left" w:pos="567"/>
        </w:tabs>
        <w:spacing w:line="240" w:lineRule="auto"/>
        <w:rPr>
          <w:lang w:val="en-US"/>
        </w:rPr>
      </w:pPr>
    </w:p>
    <w:p w14:paraId="1EB482ED" w14:textId="5F1209C0" w:rsidR="00D46FCD" w:rsidRPr="00D46FCD" w:rsidRDefault="003C3F1A" w:rsidP="00EE536A">
      <w:pPr>
        <w:tabs>
          <w:tab w:val="left" w:pos="567"/>
        </w:tabs>
        <w:spacing w:line="240" w:lineRule="auto"/>
        <w:rPr>
          <w:color w:val="000000"/>
          <w:lang w:val="en-US"/>
        </w:rPr>
      </w:pPr>
      <w:r w:rsidRPr="00D46FCD">
        <w:rPr>
          <w:lang w:val="en-US"/>
        </w:rPr>
        <w:tab/>
      </w:r>
      <w:r w:rsidR="00444AF0" w:rsidRPr="00D46FCD">
        <w:rPr>
          <w:color w:val="000000"/>
          <w:lang w:val="en-US"/>
        </w:rPr>
        <w:t xml:space="preserve">Realization of chemical </w:t>
      </w:r>
      <w:r w:rsidR="00BF65C8" w:rsidRPr="00D46FCD">
        <w:rPr>
          <w:color w:val="000000"/>
          <w:lang w:val="en-US"/>
        </w:rPr>
        <w:t>re</w:t>
      </w:r>
      <w:r w:rsidR="00D46FCD">
        <w:rPr>
          <w:color w:val="000000"/>
          <w:lang w:val="en-US"/>
        </w:rPr>
        <w:t>a</w:t>
      </w:r>
      <w:r w:rsidR="00BF65C8" w:rsidRPr="00D46FCD">
        <w:rPr>
          <w:color w:val="000000"/>
          <w:lang w:val="en-US"/>
        </w:rPr>
        <w:t>ctions</w:t>
      </w:r>
      <w:r w:rsidR="00444AF0" w:rsidRPr="00D46FCD">
        <w:rPr>
          <w:color w:val="000000"/>
          <w:lang w:val="en-US"/>
        </w:rPr>
        <w:t xml:space="preserve"> in confined and isolated environments is a challenge accomplished in complex natural systems like animal/plant cells. </w:t>
      </w:r>
      <w:r w:rsidR="00BF65C8" w:rsidRPr="00D46FCD">
        <w:rPr>
          <w:color w:val="000000"/>
          <w:lang w:val="en-US"/>
        </w:rPr>
        <w:t>S</w:t>
      </w:r>
      <w:r w:rsidR="00444AF0" w:rsidRPr="00D46FCD">
        <w:rPr>
          <w:color w:val="000000"/>
          <w:lang w:val="en-US"/>
        </w:rPr>
        <w:t xml:space="preserve">ynthetic water-dispersible </w:t>
      </w:r>
      <w:proofErr w:type="spellStart"/>
      <w:r w:rsidR="00444AF0" w:rsidRPr="00D46FCD">
        <w:rPr>
          <w:color w:val="000000"/>
          <w:lang w:val="en-US"/>
        </w:rPr>
        <w:t>nano</w:t>
      </w:r>
      <w:proofErr w:type="spellEnd"/>
      <w:r w:rsidR="00EE536A">
        <w:rPr>
          <w:color w:val="000000"/>
          <w:lang w:val="en-US"/>
        </w:rPr>
        <w:t>(micro)</w:t>
      </w:r>
      <w:r w:rsidR="00444AF0" w:rsidRPr="00D46FCD">
        <w:rPr>
          <w:color w:val="000000"/>
          <w:lang w:val="en-US"/>
        </w:rPr>
        <w:t xml:space="preserve">reactors would allow for carrying out efficient </w:t>
      </w:r>
      <w:r w:rsidR="00D46FCD" w:rsidRPr="00D46FCD">
        <w:rPr>
          <w:color w:val="000000"/>
          <w:lang w:val="en-US"/>
        </w:rPr>
        <w:t>processes</w:t>
      </w:r>
      <w:r w:rsidR="00444AF0" w:rsidRPr="00D46FCD">
        <w:rPr>
          <w:color w:val="000000"/>
          <w:lang w:val="en-US"/>
        </w:rPr>
        <w:t xml:space="preserve"> in a biomimetic approach. </w:t>
      </w:r>
    </w:p>
    <w:p w14:paraId="20982B2A" w14:textId="7841B6DE" w:rsidR="00D46FCD" w:rsidRPr="00D46FCD" w:rsidRDefault="00D46FCD" w:rsidP="00EE536A">
      <w:pPr>
        <w:tabs>
          <w:tab w:val="left" w:pos="567"/>
        </w:tabs>
        <w:spacing w:line="240" w:lineRule="auto"/>
        <w:rPr>
          <w:color w:val="000000"/>
          <w:lang w:val="en-US"/>
        </w:rPr>
      </w:pPr>
      <w:r w:rsidRPr="00D46FCD">
        <w:rPr>
          <w:color w:val="000000"/>
          <w:lang w:val="en-US"/>
        </w:rPr>
        <w:t>Polyelectrolyte-based capsules are not only attractive carriers of various sensitive substances (e.g. drugs, dyes, proteins) but also promising reactors that can be dispersed in water, navigated and loaded/unloaded u</w:t>
      </w:r>
      <w:r>
        <w:rPr>
          <w:color w:val="000000"/>
          <w:lang w:val="en-US"/>
        </w:rPr>
        <w:t>s</w:t>
      </w:r>
      <w:r w:rsidRPr="00D46FCD">
        <w:rPr>
          <w:color w:val="000000"/>
          <w:lang w:val="en-US"/>
        </w:rPr>
        <w:t xml:space="preserve">ing external stimuli. </w:t>
      </w:r>
    </w:p>
    <w:p w14:paraId="3C4D5793" w14:textId="5B947304" w:rsidR="00B11E10" w:rsidRPr="004D6D1C" w:rsidRDefault="00B11E10" w:rsidP="00B11E10">
      <w:pPr>
        <w:tabs>
          <w:tab w:val="left" w:pos="567"/>
        </w:tabs>
        <w:spacing w:line="240" w:lineRule="auto"/>
        <w:rPr>
          <w:color w:val="000000"/>
        </w:rPr>
      </w:pPr>
      <w:r>
        <w:rPr>
          <w:color w:val="000000"/>
        </w:rPr>
        <w:tab/>
      </w:r>
      <w:proofErr w:type="spellStart"/>
      <w:r w:rsidRPr="004D6D1C">
        <w:rPr>
          <w:color w:val="000000"/>
        </w:rPr>
        <w:t>Polyelectrolytes-based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microcapsules</w:t>
      </w:r>
      <w:proofErr w:type="spellEnd"/>
      <w:r w:rsidRPr="004D6D1C">
        <w:rPr>
          <w:color w:val="000000"/>
        </w:rPr>
        <w:t xml:space="preserve"> </w:t>
      </w:r>
      <w:r w:rsidR="00AE383D">
        <w:rPr>
          <w:color w:val="000000"/>
        </w:rPr>
        <w:t>with</w:t>
      </w:r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carbon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nanotubes</w:t>
      </w:r>
      <w:proofErr w:type="spellEnd"/>
      <w:r w:rsidRPr="004D6D1C">
        <w:rPr>
          <w:color w:val="000000"/>
        </w:rPr>
        <w:t xml:space="preserve"> (</w:t>
      </w:r>
      <w:proofErr w:type="spellStart"/>
      <w:r w:rsidRPr="004D6D1C">
        <w:rPr>
          <w:color w:val="000000"/>
        </w:rPr>
        <w:t>CNTs</w:t>
      </w:r>
      <w:proofErr w:type="spellEnd"/>
      <w:r w:rsidRPr="004D6D1C">
        <w:rPr>
          <w:color w:val="000000"/>
        </w:rPr>
        <w:t xml:space="preserve">) </w:t>
      </w:r>
      <w:proofErr w:type="spellStart"/>
      <w:r w:rsidRPr="004D6D1C">
        <w:rPr>
          <w:color w:val="000000"/>
        </w:rPr>
        <w:t>incorporate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into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their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walls</w:t>
      </w:r>
      <w:proofErr w:type="spellEnd"/>
      <w:r w:rsidRPr="004D6D1C"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fabricated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</w:t>
      </w:r>
      <w:proofErr w:type="spellEnd"/>
      <w:r w:rsidRPr="004D6D1C">
        <w:rPr>
          <w:color w:val="000000"/>
        </w:rPr>
        <w:t xml:space="preserve">. Very significant reinforcement of the capsules and reduction of overall permeability of the walls was observed. Importantly, the permeability of the capsules could be </w:t>
      </w:r>
      <w:proofErr w:type="spellStart"/>
      <w:r w:rsidRPr="004D6D1C">
        <w:rPr>
          <w:color w:val="000000"/>
        </w:rPr>
        <w:t>tuned</w:t>
      </w:r>
      <w:proofErr w:type="spellEnd"/>
      <w:r w:rsidRPr="004D6D1C">
        <w:rPr>
          <w:color w:val="000000"/>
        </w:rPr>
        <w:t xml:space="preserve"> by </w:t>
      </w:r>
      <w:proofErr w:type="spellStart"/>
      <w:r w:rsidRPr="004D6D1C">
        <w:rPr>
          <w:color w:val="000000"/>
        </w:rPr>
        <w:t>irradiation</w:t>
      </w:r>
      <w:proofErr w:type="spellEnd"/>
      <w:r w:rsidRPr="004D6D1C">
        <w:rPr>
          <w:color w:val="000000"/>
        </w:rPr>
        <w:t xml:space="preserve"> with </w:t>
      </w:r>
      <w:proofErr w:type="spellStart"/>
      <w:r w:rsidRPr="004D6D1C">
        <w:rPr>
          <w:color w:val="000000"/>
        </w:rPr>
        <w:t>nearIR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light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absorbed</w:t>
      </w:r>
      <w:proofErr w:type="spellEnd"/>
      <w:r w:rsidRPr="004D6D1C">
        <w:rPr>
          <w:color w:val="000000"/>
        </w:rPr>
        <w:t xml:space="preserve"> by </w:t>
      </w:r>
      <w:proofErr w:type="spellStart"/>
      <w:r w:rsidRPr="004D6D1C">
        <w:rPr>
          <w:color w:val="000000"/>
        </w:rPr>
        <w:t>CNTs</w:t>
      </w:r>
      <w:proofErr w:type="spellEnd"/>
      <w:r w:rsidRPr="004D6D1C">
        <w:rPr>
          <w:color w:val="000000"/>
        </w:rPr>
        <w:t xml:space="preserve"> </w:t>
      </w:r>
      <w:proofErr w:type="spellStart"/>
      <w:r w:rsidRPr="004D6D1C">
        <w:rPr>
          <w:color w:val="000000"/>
        </w:rPr>
        <w:t>enabling</w:t>
      </w:r>
      <w:proofErr w:type="spellEnd"/>
      <w:r w:rsidRPr="004D6D1C">
        <w:rPr>
          <w:color w:val="000000"/>
        </w:rPr>
        <w:t xml:space="preserve"> facile loading/unloading of the cargo </w:t>
      </w:r>
      <w:proofErr w:type="spellStart"/>
      <w:r w:rsidRPr="004D6D1C">
        <w:rPr>
          <w:color w:val="000000"/>
        </w:rPr>
        <w:t>molecules</w:t>
      </w:r>
      <w:proofErr w:type="spellEnd"/>
      <w:r>
        <w:rPr>
          <w:color w:val="000000"/>
        </w:rPr>
        <w:t xml:space="preserve"> (Fig 1)</w:t>
      </w:r>
      <w:r w:rsidRPr="004D6D1C">
        <w:rPr>
          <w:color w:val="000000"/>
        </w:rPr>
        <w:t>. Model photochemical reactions were shown to be efficiently realized in such microcapsules.</w:t>
      </w:r>
    </w:p>
    <w:p w14:paraId="2952AC19" w14:textId="690D39C4" w:rsidR="005916C9" w:rsidRDefault="005916C9" w:rsidP="007A181A">
      <w:pPr>
        <w:tabs>
          <w:tab w:val="left" w:pos="567"/>
        </w:tabs>
        <w:spacing w:after="120" w:line="240" w:lineRule="auto"/>
        <w:rPr>
          <w:lang w:val="en-GB"/>
        </w:rPr>
      </w:pPr>
      <w:r>
        <w:rPr>
          <w:color w:val="000000"/>
        </w:rPr>
        <w:tab/>
      </w:r>
      <w:proofErr w:type="spellStart"/>
      <w:r w:rsidR="00EE536A">
        <w:rPr>
          <w:color w:val="000000"/>
        </w:rPr>
        <w:t>C</w:t>
      </w:r>
      <w:r w:rsidR="00EE536A" w:rsidRPr="00444AF0">
        <w:rPr>
          <w:color w:val="000000"/>
        </w:rPr>
        <w:t>ore-shell</w:t>
      </w:r>
      <w:proofErr w:type="spellEnd"/>
      <w:r w:rsidR="00EE536A" w:rsidRPr="00444AF0">
        <w:rPr>
          <w:color w:val="000000"/>
        </w:rPr>
        <w:t xml:space="preserve"> </w:t>
      </w:r>
      <w:proofErr w:type="spellStart"/>
      <w:r w:rsidR="00EE536A" w:rsidRPr="005916C9">
        <w:rPr>
          <w:color w:val="000000"/>
        </w:rPr>
        <w:t>nanocapsules</w:t>
      </w:r>
      <w:proofErr w:type="spellEnd"/>
      <w:r w:rsidR="00EE536A" w:rsidRPr="005916C9">
        <w:rPr>
          <w:color w:val="000000"/>
        </w:rPr>
        <w:t xml:space="preserve"> with </w:t>
      </w:r>
      <w:r w:rsidR="00EE536A" w:rsidRPr="005916C9">
        <w:rPr>
          <w:lang w:val="en-GB"/>
        </w:rPr>
        <w:t xml:space="preserve">oil liquid cores stabilized with amphiphilic graft polyelectrolytes were developed. They were shown to serve as high capacity and long-term stability carriers of lipophilic molecules. The </w:t>
      </w:r>
      <w:proofErr w:type="spellStart"/>
      <w:r w:rsidR="00EE536A" w:rsidRPr="005916C9">
        <w:rPr>
          <w:lang w:val="en-GB"/>
        </w:rPr>
        <w:t>nanocapsules</w:t>
      </w:r>
      <w:proofErr w:type="spellEnd"/>
      <w:r w:rsidR="00EE536A" w:rsidRPr="005916C9">
        <w:rPr>
          <w:lang w:val="en-GB"/>
        </w:rPr>
        <w:t xml:space="preserve"> with magnetic nanoparticles embedded in their cores were fabricated and applied as </w:t>
      </w:r>
      <w:proofErr w:type="spellStart"/>
      <w:r w:rsidR="00EE536A" w:rsidRPr="005916C9">
        <w:rPr>
          <w:lang w:val="en-GB"/>
        </w:rPr>
        <w:t>nanoreactors</w:t>
      </w:r>
      <w:proofErr w:type="spellEnd"/>
      <w:r w:rsidR="00EE536A" w:rsidRPr="005916C9">
        <w:rPr>
          <w:lang w:val="en-GB"/>
        </w:rPr>
        <w:t xml:space="preserve">. They can be </w:t>
      </w:r>
      <w:r>
        <w:rPr>
          <w:lang w:val="en-GB"/>
        </w:rPr>
        <w:t>magnetically-</w:t>
      </w:r>
      <w:r w:rsidR="00EE536A" w:rsidRPr="005916C9">
        <w:rPr>
          <w:lang w:val="en-GB"/>
        </w:rPr>
        <w:t>navigated and transferred between the water and oil phases without disruption enabling controlled loading of hydrophobic reactants</w:t>
      </w:r>
      <w:r>
        <w:rPr>
          <w:lang w:val="en-GB"/>
        </w:rPr>
        <w:t xml:space="preserve"> (Fig. 1)</w:t>
      </w:r>
      <w:r w:rsidR="00EE536A" w:rsidRPr="005916C9">
        <w:rPr>
          <w:lang w:val="en-GB"/>
        </w:rPr>
        <w:t xml:space="preserve">. </w:t>
      </w:r>
      <w:r w:rsidR="00B11E10">
        <w:rPr>
          <w:lang w:val="en-GB"/>
        </w:rPr>
        <w:t xml:space="preserve">Importantly, their controlled fusion </w:t>
      </w:r>
      <w:r w:rsidR="00B11E10">
        <w:rPr>
          <w:color w:val="000000"/>
        </w:rPr>
        <w:t>(</w:t>
      </w:r>
      <w:proofErr w:type="spellStart"/>
      <w:r w:rsidR="00B11E10">
        <w:rPr>
          <w:color w:val="000000"/>
        </w:rPr>
        <w:t>oppositely</w:t>
      </w:r>
      <w:proofErr w:type="spellEnd"/>
      <w:r w:rsidR="00B11E10">
        <w:rPr>
          <w:color w:val="000000"/>
        </w:rPr>
        <w:t xml:space="preserve"> </w:t>
      </w:r>
      <w:proofErr w:type="spellStart"/>
      <w:r w:rsidR="00B11E10">
        <w:rPr>
          <w:color w:val="000000"/>
        </w:rPr>
        <w:t>charged</w:t>
      </w:r>
      <w:proofErr w:type="spellEnd"/>
      <w:r w:rsidR="00B11E10">
        <w:rPr>
          <w:color w:val="000000"/>
        </w:rPr>
        <w:t xml:space="preserve"> </w:t>
      </w:r>
      <w:proofErr w:type="spellStart"/>
      <w:r w:rsidR="00B11E10">
        <w:rPr>
          <w:color w:val="000000"/>
        </w:rPr>
        <w:t>shells</w:t>
      </w:r>
      <w:proofErr w:type="spellEnd"/>
      <w:r w:rsidR="00B11E10">
        <w:rPr>
          <w:color w:val="000000"/>
        </w:rPr>
        <w:t xml:space="preserve">) was </w:t>
      </w:r>
      <w:proofErr w:type="spellStart"/>
      <w:r w:rsidR="00B11E10">
        <w:rPr>
          <w:color w:val="000000"/>
        </w:rPr>
        <w:t>shown</w:t>
      </w:r>
      <w:proofErr w:type="spellEnd"/>
      <w:r w:rsidR="00B11E10">
        <w:rPr>
          <w:color w:val="000000"/>
        </w:rPr>
        <w:t xml:space="preserve"> </w:t>
      </w:r>
      <w:proofErr w:type="spellStart"/>
      <w:r w:rsidR="00B11E10">
        <w:rPr>
          <w:color w:val="000000"/>
        </w:rPr>
        <w:t>that</w:t>
      </w:r>
      <w:proofErr w:type="spellEnd"/>
      <w:r w:rsidR="00B11E10">
        <w:rPr>
          <w:color w:val="000000"/>
        </w:rPr>
        <w:t xml:space="preserve"> </w:t>
      </w:r>
      <w:proofErr w:type="spellStart"/>
      <w:r w:rsidR="00B11E10">
        <w:rPr>
          <w:color w:val="000000"/>
        </w:rPr>
        <w:t>make</w:t>
      </w:r>
      <w:proofErr w:type="spellEnd"/>
      <w:r w:rsidR="00B11E10">
        <w:rPr>
          <w:color w:val="000000"/>
        </w:rPr>
        <w:t xml:space="preserve"> </w:t>
      </w:r>
      <w:proofErr w:type="spellStart"/>
      <w:r w:rsidR="00B11E10">
        <w:rPr>
          <w:color w:val="000000"/>
        </w:rPr>
        <w:t>them</w:t>
      </w:r>
      <w:proofErr w:type="spellEnd"/>
      <w:r w:rsidR="00B11E10">
        <w:rPr>
          <w:color w:val="000000"/>
        </w:rPr>
        <w:t xml:space="preserve"> </w:t>
      </w:r>
      <w:proofErr w:type="spellStart"/>
      <w:r w:rsidR="00AE383D">
        <w:rPr>
          <w:color w:val="000000"/>
        </w:rPr>
        <w:t>very</w:t>
      </w:r>
      <w:proofErr w:type="spellEnd"/>
      <w:r w:rsidR="00AE383D">
        <w:rPr>
          <w:color w:val="000000"/>
        </w:rPr>
        <w:t xml:space="preserve"> </w:t>
      </w:r>
      <w:bookmarkStart w:id="0" w:name="_GoBack"/>
      <w:bookmarkEnd w:id="0"/>
      <w:proofErr w:type="spellStart"/>
      <w:r w:rsidR="00B11E10">
        <w:rPr>
          <w:color w:val="000000"/>
        </w:rPr>
        <w:t>promissing</w:t>
      </w:r>
      <w:proofErr w:type="spellEnd"/>
      <w:r w:rsidR="00B11E10">
        <w:rPr>
          <w:lang w:val="en-GB"/>
        </w:rPr>
        <w:t xml:space="preserve"> </w:t>
      </w:r>
      <w:proofErr w:type="spellStart"/>
      <w:r w:rsidR="00B11E10" w:rsidRPr="00444AF0">
        <w:rPr>
          <w:color w:val="000000"/>
        </w:rPr>
        <w:t>mergeable</w:t>
      </w:r>
      <w:proofErr w:type="spellEnd"/>
      <w:r w:rsidR="00B11E10" w:rsidRPr="00444AF0">
        <w:rPr>
          <w:color w:val="000000"/>
        </w:rPr>
        <w:t xml:space="preserve"> </w:t>
      </w:r>
      <w:proofErr w:type="spellStart"/>
      <w:r w:rsidR="00B11E10">
        <w:rPr>
          <w:color w:val="000000"/>
        </w:rPr>
        <w:t>nano</w:t>
      </w:r>
      <w:r w:rsidR="00B11E10" w:rsidRPr="00444AF0">
        <w:rPr>
          <w:color w:val="000000"/>
        </w:rPr>
        <w:t>react</w:t>
      </w:r>
      <w:r w:rsidR="00B11E10">
        <w:rPr>
          <w:color w:val="000000"/>
        </w:rPr>
        <w:t>ors</w:t>
      </w:r>
      <w:proofErr w:type="spellEnd"/>
      <w:r w:rsidR="00B11E10">
        <w:rPr>
          <w:color w:val="000000"/>
        </w:rPr>
        <w:t xml:space="preserve"> </w:t>
      </w:r>
      <w:r w:rsidR="00B11E10" w:rsidRPr="00444AF0">
        <w:rPr>
          <w:color w:val="000000"/>
        </w:rPr>
        <w:t xml:space="preserve">for </w:t>
      </w:r>
      <w:proofErr w:type="spellStart"/>
      <w:r w:rsidR="00B11E10" w:rsidRPr="00444AF0">
        <w:rPr>
          <w:color w:val="000000"/>
        </w:rPr>
        <w:t>controlled</w:t>
      </w:r>
      <w:proofErr w:type="spellEnd"/>
      <w:r w:rsidR="00B11E10" w:rsidRPr="00444AF0">
        <w:rPr>
          <w:color w:val="000000"/>
        </w:rPr>
        <w:t xml:space="preserve"> </w:t>
      </w:r>
      <w:proofErr w:type="spellStart"/>
      <w:r w:rsidR="00B11E10" w:rsidRPr="00444AF0">
        <w:rPr>
          <w:color w:val="000000"/>
        </w:rPr>
        <w:t>reactions</w:t>
      </w:r>
      <w:proofErr w:type="spellEnd"/>
      <w:r w:rsidR="00B11E10" w:rsidRPr="00444AF0">
        <w:rPr>
          <w:color w:val="000000"/>
        </w:rPr>
        <w:t xml:space="preserve"> of </w:t>
      </w:r>
      <w:proofErr w:type="spellStart"/>
      <w:r w:rsidR="00B11E10" w:rsidRPr="00444AF0">
        <w:rPr>
          <w:color w:val="000000"/>
        </w:rPr>
        <w:t>hydrophobic</w:t>
      </w:r>
      <w:proofErr w:type="spellEnd"/>
      <w:r w:rsidR="00B11E10" w:rsidRPr="00444AF0">
        <w:rPr>
          <w:color w:val="000000"/>
        </w:rPr>
        <w:t xml:space="preserve"> </w:t>
      </w:r>
      <w:proofErr w:type="spellStart"/>
      <w:r w:rsidR="00B11E10" w:rsidRPr="00444AF0">
        <w:rPr>
          <w:color w:val="000000"/>
        </w:rPr>
        <w:t>reagents</w:t>
      </w:r>
      <w:proofErr w:type="spellEnd"/>
      <w:r w:rsidR="00B11E10" w:rsidRPr="00444AF0">
        <w:rPr>
          <w:color w:val="000000"/>
        </w:rPr>
        <w:t xml:space="preserve"> in </w:t>
      </w:r>
      <w:proofErr w:type="spellStart"/>
      <w:r w:rsidR="00B11E10" w:rsidRPr="00444AF0">
        <w:rPr>
          <w:color w:val="000000"/>
        </w:rPr>
        <w:t>aqueous</w:t>
      </w:r>
      <w:proofErr w:type="spellEnd"/>
      <w:r w:rsidR="00B11E10" w:rsidRPr="00444AF0">
        <w:rPr>
          <w:color w:val="000000"/>
        </w:rPr>
        <w:t xml:space="preserve"> media</w:t>
      </w:r>
      <w:r w:rsidR="00B11E10">
        <w:rPr>
          <w:color w:val="000000"/>
        </w:rPr>
        <w:t xml:space="preserve">. </w:t>
      </w:r>
    </w:p>
    <w:p w14:paraId="15A923BC" w14:textId="1387A301" w:rsidR="00B11E10" w:rsidRDefault="00B11E10" w:rsidP="007A181A">
      <w:pPr>
        <w:spacing w:line="240" w:lineRule="auto"/>
        <w:jc w:val="center"/>
      </w:pPr>
      <w:r w:rsidRPr="005916C9">
        <w:rPr>
          <w:noProof/>
        </w:rPr>
        <w:drawing>
          <wp:inline distT="0" distB="0" distL="0" distR="0" wp14:anchorId="14CCA40A" wp14:editId="09BDC4B7">
            <wp:extent cx="2209800" cy="2283519"/>
            <wp:effectExtent l="0" t="0" r="0" b="2540"/>
            <wp:docPr id="3" name="Obraz 3" descr="C:\Users\DOM\Downloads\Figure AC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Figure AC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82" cy="22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03052FB" wp14:editId="68EC515B">
            <wp:extent cx="2609850" cy="2253137"/>
            <wp:effectExtent l="0" t="0" r="0" b="0"/>
            <wp:docPr id="4" name="Obraz 4" descr="Abstra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c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8" t="-119" r="8722" b="119"/>
                    <a:stretch/>
                  </pic:blipFill>
                  <pic:spPr bwMode="auto">
                    <a:xfrm>
                      <a:off x="0" y="0"/>
                      <a:ext cx="2623614" cy="22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3D173" w14:textId="1AABE254" w:rsidR="00B11E10" w:rsidRPr="007A181A" w:rsidRDefault="00B11E10" w:rsidP="00B11E1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Fig. 1. Magnetically-navigated </w:t>
      </w:r>
      <w:proofErr w:type="spellStart"/>
      <w:r w:rsidRPr="007A181A">
        <w:rPr>
          <w:rFonts w:ascii="Times New Roman" w:hAnsi="Times New Roman" w:cs="Times New Roman"/>
          <w:sz w:val="24"/>
          <w:szCs w:val="24"/>
          <w:lang w:val="en-US"/>
        </w:rPr>
        <w:t>nanocapsules</w:t>
      </w:r>
      <w:proofErr w:type="spellEnd"/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A181A">
        <w:rPr>
          <w:rFonts w:ascii="Times New Roman" w:hAnsi="Times New Roman" w:cs="Times New Roman"/>
          <w:sz w:val="24"/>
          <w:szCs w:val="24"/>
          <w:lang w:val="en-US"/>
        </w:rPr>
        <w:t xml:space="preserve">left; </w:t>
      </w:r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>Odrobińska</w:t>
      </w:r>
      <w:proofErr w:type="spellEnd"/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7A181A"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ACS </w:t>
      </w:r>
      <w:proofErr w:type="spellStart"/>
      <w:r w:rsidR="007A181A"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Appl</w:t>
      </w:r>
      <w:proofErr w:type="spellEnd"/>
      <w:r w:rsidR="007A181A"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A181A"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Mater</w:t>
      </w:r>
      <w:proofErr w:type="spellEnd"/>
      <w:r w:rsidR="007A181A"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A181A"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Interfaces</w:t>
      </w:r>
      <w:proofErr w:type="spellEnd"/>
      <w:r w:rsidR="007A181A" w:rsidRPr="007A1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81A" w:rsidRPr="007A181A">
        <w:rPr>
          <w:rStyle w:val="cit-year-inf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="007A181A" w:rsidRPr="007A181A">
        <w:rPr>
          <w:rStyle w:val="cit-volu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</w:t>
      </w:r>
      <w:r w:rsidR="007A181A" w:rsidRPr="007A181A">
        <w:rPr>
          <w:rStyle w:val="cit-issu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181A">
        <w:rPr>
          <w:rStyle w:val="cit-pagerang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10905)</w:t>
      </w:r>
      <w:r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>nearIR</w:t>
      </w:r>
      <w:proofErr w:type="spellEnd"/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 triggered release of the cargo from the</w:t>
      </w:r>
      <w:r w:rsidR="007A181A">
        <w:rPr>
          <w:rFonts w:ascii="Times New Roman" w:hAnsi="Times New Roman" w:cs="Times New Roman"/>
          <w:sz w:val="24"/>
          <w:szCs w:val="24"/>
          <w:lang w:val="en-US"/>
        </w:rPr>
        <w:t xml:space="preserve"> polymer </w:t>
      </w:r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 microcapsules </w:t>
      </w:r>
      <w:r w:rsidRPr="007A18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181A">
        <w:rPr>
          <w:rFonts w:ascii="Times New Roman" w:hAnsi="Times New Roman" w:cs="Times New Roman"/>
          <w:sz w:val="24"/>
          <w:szCs w:val="24"/>
          <w:lang w:val="en-US"/>
        </w:rPr>
        <w:t xml:space="preserve">right; </w:t>
      </w:r>
      <w:r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7A18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A181A" w:rsidRPr="007A18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181A">
        <w:rPr>
          <w:rFonts w:ascii="Times New Roman" w:hAnsi="Times New Roman" w:cs="Times New Roman"/>
          <w:sz w:val="24"/>
          <w:szCs w:val="24"/>
          <w:lang w:val="en-US"/>
        </w:rPr>
        <w:t>ojnacka-Górka</w:t>
      </w:r>
      <w:proofErr w:type="spellEnd"/>
      <w:r w:rsidRPr="007A181A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ACS </w:t>
      </w:r>
      <w:proofErr w:type="spellStart"/>
      <w:r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Appl</w:t>
      </w:r>
      <w:proofErr w:type="spellEnd"/>
      <w:r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Mater</w:t>
      </w:r>
      <w:proofErr w:type="spellEnd"/>
      <w:r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A181A">
        <w:rPr>
          <w:rStyle w:val="cit-tit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Interfaces</w:t>
      </w:r>
      <w:proofErr w:type="spellEnd"/>
      <w:r w:rsidRPr="007A1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181A">
        <w:rPr>
          <w:rStyle w:val="cit-year-inf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 w:rsidRPr="007A181A">
        <w:rPr>
          <w:rStyle w:val="cit-volu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13</w:t>
      </w:r>
      <w:r w:rsidRPr="007A181A">
        <w:rPr>
          <w:rStyle w:val="cit-issu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181A">
        <w:rPr>
          <w:rStyle w:val="cit-pagerang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1562</w:t>
      </w:r>
      <w:r w:rsidR="007A181A">
        <w:rPr>
          <w:rStyle w:val="cit-pagerang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267204B" w14:textId="77777777" w:rsidR="00B11E10" w:rsidRPr="007A181A" w:rsidRDefault="00B11E10" w:rsidP="00B11E1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AD65B5" w14:textId="77777777" w:rsidR="00B11E10" w:rsidRPr="007A181A" w:rsidRDefault="00B11E10" w:rsidP="00B11E10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A181A">
        <w:rPr>
          <w:rFonts w:ascii="Times New Roman" w:hAnsi="Times New Roman" w:cs="Times New Roman"/>
          <w:sz w:val="22"/>
          <w:szCs w:val="22"/>
          <w:lang w:val="en-US"/>
        </w:rPr>
        <w:t>This work was financed by the National Science Centre: grant Beethoven Classic 3</w:t>
      </w:r>
    </w:p>
    <w:p w14:paraId="6A16117D" w14:textId="25FA8080" w:rsidR="008C65A3" w:rsidRDefault="00B11E10" w:rsidP="007A181A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 w:rsidRPr="007A181A">
        <w:rPr>
          <w:rFonts w:ascii="Times New Roman" w:hAnsi="Times New Roman" w:cs="Times New Roman"/>
          <w:sz w:val="22"/>
          <w:szCs w:val="22"/>
          <w:lang w:val="en-US"/>
        </w:rPr>
        <w:t>K/BTH/000009</w:t>
      </w:r>
      <w:r w:rsidR="007A181A">
        <w:rPr>
          <w:rFonts w:ascii="Times New Roman" w:hAnsi="Times New Roman" w:cs="Times New Roman"/>
          <w:sz w:val="22"/>
          <w:szCs w:val="22"/>
          <w:lang w:val="en-US"/>
        </w:rPr>
        <w:tab/>
      </w:r>
    </w:p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qQUASNMFiywAAAA="/>
  </w:docVars>
  <w:rsids>
    <w:rsidRoot w:val="003C3F1A"/>
    <w:rsid w:val="003C3F1A"/>
    <w:rsid w:val="00444AF0"/>
    <w:rsid w:val="004D6D1C"/>
    <w:rsid w:val="005916C9"/>
    <w:rsid w:val="00611F0F"/>
    <w:rsid w:val="007A181A"/>
    <w:rsid w:val="007B07DE"/>
    <w:rsid w:val="008C65A3"/>
    <w:rsid w:val="00AE383D"/>
    <w:rsid w:val="00B11E10"/>
    <w:rsid w:val="00BF65C8"/>
    <w:rsid w:val="00C3021F"/>
    <w:rsid w:val="00D46FCD"/>
    <w:rsid w:val="00EE536A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1E10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1E1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it-title">
    <w:name w:val="cit-title"/>
    <w:basedOn w:val="Domylnaczcionkaakapitu"/>
    <w:rsid w:val="00B11E10"/>
  </w:style>
  <w:style w:type="character" w:customStyle="1" w:styleId="cit-year-info">
    <w:name w:val="cit-year-info"/>
    <w:basedOn w:val="Domylnaczcionkaakapitu"/>
    <w:rsid w:val="00B11E10"/>
  </w:style>
  <w:style w:type="character" w:customStyle="1" w:styleId="cit-volume">
    <w:name w:val="cit-volume"/>
    <w:basedOn w:val="Domylnaczcionkaakapitu"/>
    <w:rsid w:val="00B11E10"/>
  </w:style>
  <w:style w:type="character" w:customStyle="1" w:styleId="cit-issue">
    <w:name w:val="cit-issue"/>
    <w:basedOn w:val="Domylnaczcionkaakapitu"/>
    <w:rsid w:val="00B11E10"/>
  </w:style>
  <w:style w:type="character" w:customStyle="1" w:styleId="cit-pagerange">
    <w:name w:val="cit-pagerange"/>
    <w:basedOn w:val="Domylnaczcionkaakapitu"/>
    <w:rsid w:val="00B1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SZ</cp:lastModifiedBy>
  <cp:revision>9</cp:revision>
  <dcterms:created xsi:type="dcterms:W3CDTF">2022-05-05T20:03:00Z</dcterms:created>
  <dcterms:modified xsi:type="dcterms:W3CDTF">2022-05-05T21:51:00Z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